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29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3"/>
        <w:gridCol w:w="1146"/>
        <w:gridCol w:w="566"/>
        <w:gridCol w:w="566"/>
        <w:gridCol w:w="1132"/>
        <w:gridCol w:w="3476"/>
      </w:tblGrid>
      <w:tr w:rsidR="00B15C5C" w:rsidTr="000061BE">
        <w:tc>
          <w:tcPr>
            <w:tcW w:w="4389" w:type="dxa"/>
            <w:gridSpan w:val="2"/>
            <w:shd w:val="clear" w:color="auto" w:fill="auto"/>
          </w:tcPr>
          <w:p w:rsidR="00B15C5C" w:rsidRDefault="00B15C5C">
            <w:pPr>
              <w:suppressAutoHyphens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5740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</w:p>
        </w:tc>
      </w:tr>
      <w:tr w:rsidR="00B15C5C" w:rsidTr="000061BE">
        <w:tc>
          <w:tcPr>
            <w:tcW w:w="4389" w:type="dxa"/>
            <w:gridSpan w:val="2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г. Суздаля»</w:t>
            </w:r>
          </w:p>
        </w:tc>
      </w:tr>
      <w:tr w:rsidR="00B15C5C" w:rsidTr="000061BE">
        <w:tc>
          <w:tcPr>
            <w:tcW w:w="10129" w:type="dxa"/>
            <w:gridSpan w:val="6"/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16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государственной услуги "Выплата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Суздальского района"</w:t>
            </w:r>
          </w:p>
        </w:tc>
      </w:tr>
      <w:tr w:rsidR="00B15C5C" w:rsidTr="000061BE">
        <w:tc>
          <w:tcPr>
            <w:tcW w:w="10129" w:type="dxa"/>
            <w:gridSpan w:val="6"/>
            <w:shd w:val="clear" w:color="auto" w:fill="auto"/>
          </w:tcPr>
          <w:p w:rsidR="00B15C5C" w:rsidRDefault="000061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первым, вторым, третьим, последующим ребенком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подчеркнуть), осваивающим образовательную программу дошкольного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в организации, осуществляющей образовательную деятельность: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 г. Суздаля»</w:t>
            </w:r>
          </w:p>
        </w:tc>
      </w:tr>
      <w:tr w:rsidR="00B15C5C" w:rsidTr="000061BE">
        <w:tc>
          <w:tcPr>
            <w:tcW w:w="10129" w:type="dxa"/>
            <w:gridSpan w:val="6"/>
            <w:shd w:val="clear" w:color="auto" w:fill="auto"/>
          </w:tcPr>
          <w:p w:rsidR="00B15C5C" w:rsidRDefault="000061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услуги (далее - заявитель):</w:t>
            </w: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5521" w:type="dxa"/>
            <w:gridSpan w:val="4"/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заявителя:</w:t>
            </w:r>
          </w:p>
        </w:tc>
        <w:tc>
          <w:tcPr>
            <w:tcW w:w="1132" w:type="dxa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ребенке, осваивающем образовательную программу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в организации, осуществляющей образовательную деятельность: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101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snapToGrid w:val="0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(фамилия, имя, отчество (при наличии); дата рождения; пол; СНИЛС; гражданство; данные документа, удостоверяющего личность)</w:t>
            </w:r>
            <w:proofErr w:type="gramEnd"/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обучении других детей в семье в возрасте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лет по очной форме обучения (в случае если такие дети имеются в семье):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B15C5C" w:rsidTr="000061BE">
        <w:trPr>
          <w:trHeight w:val="110"/>
        </w:trPr>
        <w:tc>
          <w:tcPr>
            <w:tcW w:w="101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) </w:t>
            </w:r>
            <w:proofErr w:type="gramEnd"/>
          </w:p>
        </w:tc>
      </w:tr>
      <w:tr w:rsidR="00B15C5C" w:rsidTr="000061BE">
        <w:tc>
          <w:tcPr>
            <w:tcW w:w="101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представляемых в соответствии с </w:t>
            </w:r>
            <w:hyperlink w:anchor="P10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пунктами 2.11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114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2.13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B15C5C" w:rsidTr="000061BE">
        <w:tc>
          <w:tcPr>
            <w:tcW w:w="49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организацию почтовой связи:</w:t>
            </w: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rPr>
          <w:trHeight w:val="259"/>
        </w:trPr>
        <w:tc>
          <w:tcPr>
            <w:tcW w:w="49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(адрес, почтовый индекс)</w:t>
            </w:r>
          </w:p>
        </w:tc>
      </w:tr>
      <w:tr w:rsidR="00B15C5C" w:rsidTr="000061BE">
        <w:tc>
          <w:tcPr>
            <w:tcW w:w="49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49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495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(номер счета; банк получателя; БИК;</w:t>
            </w:r>
          </w:p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корр. счет; ИНН; КПП)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10129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B15C5C" w:rsidRDefault="000061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</w:tc>
      </w:tr>
      <w:tr w:rsidR="00B15C5C" w:rsidTr="000061BE">
        <w:tc>
          <w:tcPr>
            <w:tcW w:w="1012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 xml:space="preserve">б) документ, удостоверяющий </w:t>
            </w:r>
            <w:r>
              <w:rPr>
                <w:color w:val="1A1A1A"/>
                <w:sz w:val="23"/>
              </w:rPr>
              <w:t>личность заявителя (при личном обращении);</w:t>
            </w:r>
          </w:p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>в) документ, подтверждающий, что заявитель является законным представителем ребенка (при личном обращении);</w:t>
            </w:r>
          </w:p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 xml:space="preserve">г) документы, подтверждающие сведения о рождении ребенка, выданные компетентными органами иностранных </w:t>
            </w:r>
            <w:r>
              <w:rPr>
                <w:color w:val="1A1A1A"/>
                <w:sz w:val="23"/>
              </w:rPr>
              <w:t>государств, и их перевод на русский язык (если рождение ребенка зарегистрировано на территории иностранного государства);</w:t>
            </w:r>
          </w:p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 xml:space="preserve">д) справка с места учебы совершеннолетнего ребенка (детей) заявителя, подтверждающая </w:t>
            </w:r>
            <w:proofErr w:type="gramStart"/>
            <w:r>
              <w:rPr>
                <w:color w:val="1A1A1A"/>
                <w:sz w:val="23"/>
              </w:rPr>
              <w:t>обучение по</w:t>
            </w:r>
            <w:proofErr w:type="gramEnd"/>
            <w:r>
              <w:rPr>
                <w:color w:val="1A1A1A"/>
                <w:sz w:val="23"/>
              </w:rPr>
              <w:t xml:space="preserve"> очной форме в образовательной организ</w:t>
            </w:r>
            <w:r>
              <w:rPr>
                <w:color w:val="1A1A1A"/>
                <w:sz w:val="23"/>
              </w:rPr>
              <w:t>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      </w:r>
          </w:p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>е) согласие лиц, указанных в заявлении, на обработку их персональных данных</w:t>
            </w:r>
            <w:r>
              <w:rPr>
                <w:color w:val="1A1A1A"/>
                <w:sz w:val="23"/>
              </w:rPr>
              <w:t xml:space="preserve"> (при личном обращении);</w:t>
            </w:r>
          </w:p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>ж)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      </w:r>
          </w:p>
          <w:p w:rsidR="00B15C5C" w:rsidRDefault="000061BE">
            <w:pPr>
              <w:numPr>
                <w:ilvl w:val="0"/>
                <w:numId w:val="2"/>
              </w:numPr>
              <w:rPr>
                <w:color w:val="1A1A1A"/>
                <w:sz w:val="23"/>
              </w:rPr>
            </w:pPr>
            <w:r>
              <w:rPr>
                <w:color w:val="1A1A1A"/>
                <w:sz w:val="23"/>
              </w:rPr>
              <w:t xml:space="preserve">з) документы, </w:t>
            </w:r>
            <w:r>
              <w:rPr>
                <w:color w:val="1A1A1A"/>
                <w:sz w:val="23"/>
              </w:rPr>
              <w:t>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      </w:r>
          </w:p>
        </w:tc>
      </w:tr>
      <w:tr w:rsidR="00B15C5C" w:rsidTr="000061BE">
        <w:tc>
          <w:tcPr>
            <w:tcW w:w="10129" w:type="dxa"/>
            <w:gridSpan w:val="6"/>
            <w:shd w:val="clear" w:color="auto" w:fill="auto"/>
          </w:tcPr>
          <w:p w:rsidR="00B15C5C" w:rsidRDefault="00006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достоверность представления сведений при 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оснований для предоставления компенсации гарантирую.</w:t>
            </w:r>
          </w:p>
        </w:tc>
      </w:tr>
      <w:tr w:rsidR="00B15C5C" w:rsidTr="000061BE">
        <w:tc>
          <w:tcPr>
            <w:tcW w:w="3243" w:type="dxa"/>
            <w:tcBorders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bottom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5C" w:rsidTr="000061BE">
        <w:tc>
          <w:tcPr>
            <w:tcW w:w="3243" w:type="dxa"/>
            <w:tcBorders>
              <w:top w:val="single" w:sz="4" w:space="0" w:color="000000"/>
            </w:tcBorders>
            <w:shd w:val="clear" w:color="auto" w:fill="auto"/>
          </w:tcPr>
          <w:p w:rsidR="00B15C5C" w:rsidRDefault="000061BE" w:rsidP="000061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заполнения: "___" </w:t>
            </w:r>
          </w:p>
        </w:tc>
        <w:tc>
          <w:tcPr>
            <w:tcW w:w="3410" w:type="dxa"/>
            <w:gridSpan w:val="4"/>
            <w:shd w:val="clear" w:color="auto" w:fill="auto"/>
          </w:tcPr>
          <w:p w:rsidR="00B15C5C" w:rsidRDefault="000061BE" w:rsidP="000061BE">
            <w:pPr>
              <w:pStyle w:val="ConsPlusNormal"/>
              <w:snapToGrid w:val="0"/>
              <w:ind w:firstLin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20____ г.</w:t>
            </w:r>
            <w:bookmarkStart w:id="1" w:name="_GoBack"/>
            <w:bookmarkEnd w:id="1"/>
          </w:p>
        </w:tc>
        <w:tc>
          <w:tcPr>
            <w:tcW w:w="3476" w:type="dxa"/>
            <w:tcBorders>
              <w:top w:val="single" w:sz="4" w:space="0" w:color="000000"/>
            </w:tcBorders>
            <w:shd w:val="clear" w:color="auto" w:fill="auto"/>
          </w:tcPr>
          <w:p w:rsidR="00B15C5C" w:rsidRDefault="00B15C5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15C5C" w:rsidTr="000061BE">
        <w:tc>
          <w:tcPr>
            <w:tcW w:w="10129" w:type="dxa"/>
            <w:gridSpan w:val="6"/>
            <w:shd w:val="clear" w:color="auto" w:fill="auto"/>
          </w:tcPr>
          <w:p w:rsidR="00B15C5C" w:rsidRDefault="00B15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C5C" w:rsidRDefault="00B15C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15C5C">
      <w:pgSz w:w="11906" w:h="16838"/>
      <w:pgMar w:top="709" w:right="567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;MS Minch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74C2"/>
    <w:multiLevelType w:val="multilevel"/>
    <w:tmpl w:val="18F604CE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D2A0186"/>
    <w:multiLevelType w:val="multilevel"/>
    <w:tmpl w:val="36D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5C5C"/>
    <w:rsid w:val="000061BE"/>
    <w:rsid w:val="00B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имвол нумерации"/>
    <w:qFormat/>
  </w:style>
  <w:style w:type="character" w:customStyle="1" w:styleId="a6">
    <w:name w:val="Основной текст Знак"/>
    <w:qFormat/>
    <w:rPr>
      <w:sz w:val="28"/>
      <w:lang w:eastAsia="zh-CN"/>
    </w:rPr>
  </w:style>
  <w:style w:type="character" w:customStyle="1" w:styleId="a7">
    <w:name w:val="Посещённая гиперссылка"/>
    <w:basedOn w:val="a0"/>
    <w:rPr>
      <w:color w:val="800080"/>
      <w:u w:val="single"/>
    </w:rPr>
  </w:style>
  <w:style w:type="character" w:customStyle="1" w:styleId="a8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Tahoma" w:hAnsi="Liberation Sans;Arial" w:cs="Lohit Devanagari;MS Mincho"/>
      <w:szCs w:val="28"/>
    </w:rPr>
  </w:style>
  <w:style w:type="paragraph" w:styleId="aa">
    <w:name w:val="Body Text"/>
    <w:basedOn w:val="a"/>
    <w:pPr>
      <w:jc w:val="both"/>
    </w:pPr>
  </w:style>
  <w:style w:type="paragraph" w:styleId="ab">
    <w:name w:val="List"/>
    <w:basedOn w:val="aa"/>
    <w:rPr>
      <w:rFonts w:cs="Lohit Devanagari;MS Mincho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;MS Mincho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Указатель1"/>
    <w:basedOn w:val="a"/>
    <w:qFormat/>
    <w:pPr>
      <w:suppressLineNumbers/>
    </w:pPr>
    <w:rPr>
      <w:rFonts w:cs="Lohit Devanagari;MS Mincho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Normal (Web)"/>
    <w:basedOn w:val="a"/>
    <w:qFormat/>
    <w:pPr>
      <w:spacing w:before="100" w:after="100"/>
    </w:pPr>
    <w:rPr>
      <w:sz w:val="24"/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qFormat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eastAsia="Calibri"/>
      <w:sz w:val="24"/>
      <w:szCs w:val="22"/>
    </w:rPr>
  </w:style>
  <w:style w:type="paragraph" w:styleId="af3">
    <w:name w:val="footnote text"/>
    <w:basedOn w:val="a"/>
    <w:rPr>
      <w:rFonts w:eastAsia="Calibri"/>
      <w:sz w:val="20"/>
    </w:rPr>
  </w:style>
  <w:style w:type="paragraph" w:customStyle="1" w:styleId="af4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dktexjustify">
    <w:name w:val="dktexjustify"/>
    <w:basedOn w:val="a"/>
    <w:qFormat/>
    <w:pPr>
      <w:spacing w:before="100" w:after="100"/>
      <w:jc w:val="both"/>
    </w:pPr>
    <w:rPr>
      <w:sz w:val="24"/>
      <w:szCs w:val="24"/>
    </w:rPr>
  </w:style>
  <w:style w:type="paragraph" w:customStyle="1" w:styleId="dktexright">
    <w:name w:val="dktexright"/>
    <w:basedOn w:val="a"/>
    <w:qFormat/>
    <w:pPr>
      <w:spacing w:before="100" w:after="100"/>
      <w:jc w:val="both"/>
    </w:pPr>
    <w:rPr>
      <w:sz w:val="24"/>
      <w:szCs w:val="24"/>
    </w:rPr>
  </w:style>
  <w:style w:type="paragraph" w:customStyle="1" w:styleId="af5">
    <w:name w:val="Стиль"/>
    <w:basedOn w:val="a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Пункт_пост"/>
    <w:basedOn w:val="a"/>
    <w:qFormat/>
    <w:pPr>
      <w:spacing w:before="120"/>
      <w:ind w:firstLine="720"/>
      <w:jc w:val="both"/>
      <w:textAlignment w:val="baseline"/>
    </w:pPr>
    <w:rPr>
      <w:color w:val="00000A"/>
      <w:sz w:val="2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vt:lpstr>
    </vt:vector>
  </TitlesOfParts>
  <Company>КонсультантПлюс Версия 4016.00.36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dc:title>
  <dc:subject/>
  <dc:creator>***</dc:creator>
  <dc:description/>
  <cp:lastModifiedBy>Пользователь</cp:lastModifiedBy>
  <cp:revision>818</cp:revision>
  <cp:lastPrinted>2024-06-05T11:49:00Z</cp:lastPrinted>
  <dcterms:created xsi:type="dcterms:W3CDTF">2017-05-11T15:04:00Z</dcterms:created>
  <dcterms:modified xsi:type="dcterms:W3CDTF">2024-06-05T11:50:00Z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</Properties>
</file>